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53" w:rsidRPr="00A128B6" w:rsidRDefault="00230E53" w:rsidP="00230E53">
      <w:pPr>
        <w:tabs>
          <w:tab w:val="left" w:pos="8774"/>
        </w:tabs>
        <w:spacing w:before="80"/>
        <w:jc w:val="right"/>
        <w:rPr>
          <w:rFonts w:ascii="AvantGarde Bk BT" w:hAnsi="AvantGarde Bk BT" w:cs="AvantGarde Bk BT"/>
          <w:b/>
          <w:bCs/>
          <w:caps/>
          <w:color w:val="008000"/>
          <w:u w:val="single"/>
          <w:rtl/>
        </w:rPr>
      </w:pPr>
      <w:r w:rsidRPr="00A128B6">
        <w:rPr>
          <w:rFonts w:ascii="AvantGarde Bk BT" w:hAnsi="AvantGarde Bk BT" w:cs="AvantGarde Bk BT"/>
          <w:b/>
          <w:bCs/>
          <w:caps/>
          <w:color w:val="008000"/>
          <w:u w:val="single"/>
        </w:rPr>
        <w:t>Proposefd</w:t>
      </w:r>
    </w:p>
    <w:tbl>
      <w:tblPr>
        <w:tblW w:w="10170" w:type="dxa"/>
        <w:tblInd w:w="-252" w:type="dxa"/>
        <w:tblLayout w:type="fixed"/>
        <w:tblLook w:val="0000"/>
      </w:tblPr>
      <w:tblGrid>
        <w:gridCol w:w="1710"/>
        <w:gridCol w:w="8460"/>
      </w:tblGrid>
      <w:tr w:rsidR="00230E53" w:rsidTr="0079470A">
        <w:trPr>
          <w:trHeight w:val="1260"/>
        </w:trPr>
        <w:tc>
          <w:tcPr>
            <w:tcW w:w="1710" w:type="dxa"/>
          </w:tcPr>
          <w:p w:rsidR="00230E53" w:rsidRDefault="00230E53" w:rsidP="0079470A">
            <w:pPr>
              <w:tabs>
                <w:tab w:val="left" w:pos="720"/>
                <w:tab w:val="left" w:pos="144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85725</wp:posOffset>
                  </wp:positionV>
                  <wp:extent cx="716280" cy="638175"/>
                  <wp:effectExtent l="19050" t="0" r="7620" b="0"/>
                  <wp:wrapSquare wrapText="bothSides"/>
                  <wp:docPr id="3" name="Picture 3" descr="IIUMo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IUMo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60" w:type="dxa"/>
          </w:tcPr>
          <w:p w:rsidR="00230E53" w:rsidRDefault="00230E53" w:rsidP="0079470A">
            <w:pPr>
              <w:pStyle w:val="Heading1"/>
              <w:jc w:val="center"/>
              <w:rPr>
                <w:rFonts w:ascii="AvantGarde Bk BT" w:hAnsi="AvantGarde Bk BT" w:cs="AvantGarde Bk BT"/>
                <w:b w:val="0"/>
                <w:bCs w:val="0"/>
                <w:color w:val="008000"/>
                <w:sz w:val="40"/>
                <w:szCs w:val="40"/>
              </w:rPr>
            </w:pPr>
            <w:r>
              <w:rPr>
                <w:rFonts w:ascii="AvantGarde Bk BT" w:hAnsi="AvantGarde Bk BT" w:cs="AvantGarde Bk BT"/>
                <w:b w:val="0"/>
                <w:bCs w:val="0"/>
                <w:color w:val="008000"/>
                <w:sz w:val="40"/>
                <w:szCs w:val="40"/>
              </w:rPr>
              <w:t>International Islamic University, ISLAMABAD</w:t>
            </w:r>
          </w:p>
          <w:p w:rsidR="00230E53" w:rsidRPr="00D669A7" w:rsidRDefault="00230E53" w:rsidP="0079470A">
            <w:pPr>
              <w:jc w:val="center"/>
            </w:pPr>
          </w:p>
        </w:tc>
      </w:tr>
    </w:tbl>
    <w:p w:rsidR="00230E53" w:rsidRDefault="00230E53" w:rsidP="00230E53">
      <w:pPr>
        <w:pStyle w:val="Subtitle"/>
        <w:spacing w:before="0" w:after="80"/>
        <w:rPr>
          <w:rFonts w:ascii="Arial Narrow" w:hAnsi="Arial Narrow" w:cs="Arial Narrow"/>
          <w:sz w:val="24"/>
          <w:szCs w:val="24"/>
        </w:rPr>
      </w:pPr>
    </w:p>
    <w:p w:rsidR="00230E53" w:rsidRDefault="00230E53" w:rsidP="00230E53">
      <w:pPr>
        <w:pStyle w:val="Subtitle"/>
        <w:spacing w:before="0" w:after="80"/>
        <w:rPr>
          <w:rFonts w:ascii="Arial Narrow" w:hAnsi="Arial Narrow" w:cs="Arial Narrow"/>
          <w:caps w:val="0"/>
          <w:sz w:val="24"/>
          <w:szCs w:val="24"/>
        </w:rPr>
      </w:pPr>
      <w:r>
        <w:rPr>
          <w:rFonts w:ascii="Arial Narrow" w:hAnsi="Arial Narrow" w:cs="Arial Narrow"/>
          <w:caps w:val="0"/>
          <w:sz w:val="24"/>
          <w:szCs w:val="24"/>
        </w:rPr>
        <w:t>APPLICATION FORM FOR IIU FUNDED RESERCH PROJECT</w:t>
      </w:r>
    </w:p>
    <w:p w:rsidR="00230E53" w:rsidRPr="00230E53" w:rsidRDefault="00230E53" w:rsidP="00230E53">
      <w:pPr>
        <w:pStyle w:val="Subtitle"/>
        <w:spacing w:before="0" w:after="80"/>
        <w:rPr>
          <w:rFonts w:ascii="Arial Narrow" w:hAnsi="Arial Narrow" w:cs="Arial Narrow"/>
          <w:b w:val="0"/>
          <w:bCs w:val="0"/>
          <w:caps w:val="0"/>
          <w:sz w:val="24"/>
          <w:szCs w:val="24"/>
          <w:u w:val="single"/>
        </w:rPr>
      </w:pPr>
      <w:r w:rsidRPr="00230E53">
        <w:rPr>
          <w:rFonts w:ascii="Arial Narrow" w:hAnsi="Arial Narrow" w:cs="Arial Narrow"/>
          <w:b w:val="0"/>
          <w:bCs w:val="0"/>
          <w:caps w:val="0"/>
          <w:sz w:val="24"/>
          <w:szCs w:val="24"/>
          <w:u w:val="single"/>
        </w:rPr>
        <w:t xml:space="preserve">GUIDELINES </w:t>
      </w:r>
    </w:p>
    <w:p w:rsidR="00230E53" w:rsidRDefault="00230E53" w:rsidP="00230E53">
      <w:pPr>
        <w:pStyle w:val="Subtitle"/>
        <w:tabs>
          <w:tab w:val="left" w:pos="525"/>
        </w:tabs>
        <w:spacing w:before="0"/>
        <w:rPr>
          <w:sz w:val="24"/>
          <w:szCs w:val="24"/>
        </w:rPr>
      </w:pPr>
    </w:p>
    <w:p w:rsidR="00230E53" w:rsidRDefault="00420EC5" w:rsidP="00420EC5">
      <w:pPr>
        <w:pStyle w:val="BodyText"/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accordance with the</w:t>
      </w:r>
      <w:r w:rsidR="00230E53">
        <w:rPr>
          <w:rFonts w:ascii="Times New Roman" w:hAnsi="Times New Roman" w:cs="Times New Roman"/>
          <w:sz w:val="22"/>
          <w:szCs w:val="22"/>
          <w:lang w:val="en-GB"/>
        </w:rPr>
        <w:t xml:space="preserve"> mission statement</w:t>
      </w:r>
      <w:r w:rsidR="00196A33">
        <w:rPr>
          <w:rFonts w:ascii="Times New Roman" w:hAnsi="Times New Roman" w:cs="Times New Roman"/>
          <w:sz w:val="22"/>
          <w:szCs w:val="22"/>
          <w:lang w:val="en-GB"/>
        </w:rPr>
        <w:t xml:space="preserve"> and objectives</w:t>
      </w:r>
      <w:r w:rsidR="00230E53">
        <w:rPr>
          <w:rFonts w:ascii="Times New Roman" w:hAnsi="Times New Roman" w:cs="Times New Roman"/>
          <w:sz w:val="22"/>
          <w:szCs w:val="22"/>
          <w:lang w:val="en-GB"/>
        </w:rPr>
        <w:t xml:space="preserve"> of IIU</w:t>
      </w:r>
      <w:r>
        <w:rPr>
          <w:rFonts w:ascii="Times New Roman" w:hAnsi="Times New Roman" w:cs="Times New Roman"/>
          <w:sz w:val="22"/>
          <w:szCs w:val="22"/>
          <w:lang w:val="en-GB"/>
        </w:rPr>
        <w:t>,</w:t>
      </w:r>
      <w:r w:rsidR="00230E53">
        <w:rPr>
          <w:rFonts w:ascii="Times New Roman" w:hAnsi="Times New Roman" w:cs="Times New Roman"/>
          <w:sz w:val="22"/>
          <w:szCs w:val="22"/>
          <w:lang w:val="en-GB"/>
        </w:rPr>
        <w:t xml:space="preserve"> it has to be included in the first 500 universities as early </w:t>
      </w:r>
      <w:r w:rsidR="00196A33">
        <w:rPr>
          <w:rFonts w:ascii="Times New Roman" w:hAnsi="Times New Roman" w:cs="Times New Roman"/>
          <w:sz w:val="22"/>
          <w:szCs w:val="22"/>
          <w:lang w:val="en-GB"/>
        </w:rPr>
        <w:t>as possible</w:t>
      </w:r>
      <w:r w:rsidR="00230E53">
        <w:rPr>
          <w:rFonts w:ascii="Times New Roman" w:hAnsi="Times New Roman" w:cs="Times New Roman"/>
          <w:sz w:val="22"/>
          <w:szCs w:val="22"/>
          <w:lang w:val="en-GB"/>
        </w:rPr>
        <w:t>.</w:t>
      </w:r>
      <w:r w:rsidR="00196A33">
        <w:rPr>
          <w:rFonts w:ascii="Times New Roman" w:hAnsi="Times New Roman" w:cs="Times New Roman"/>
          <w:sz w:val="22"/>
          <w:szCs w:val="22"/>
          <w:lang w:val="en-GB"/>
        </w:rPr>
        <w:t xml:space="preserve"> It has to maintain its reputation as </w:t>
      </w:r>
      <w:r>
        <w:rPr>
          <w:rFonts w:ascii="Times New Roman" w:hAnsi="Times New Roman" w:cs="Times New Roman"/>
          <w:sz w:val="22"/>
          <w:szCs w:val="22"/>
          <w:lang w:val="en-GB"/>
        </w:rPr>
        <w:t>a</w:t>
      </w:r>
      <w:r w:rsidR="00196A33">
        <w:rPr>
          <w:rFonts w:ascii="Times New Roman" w:hAnsi="Times New Roman" w:cs="Times New Roman"/>
          <w:sz w:val="22"/>
          <w:szCs w:val="22"/>
          <w:lang w:val="en-GB"/>
        </w:rPr>
        <w:t xml:space="preserve"> leading university of the Muslims World.</w:t>
      </w:r>
      <w:r w:rsidR="00230E53">
        <w:rPr>
          <w:rFonts w:ascii="Times New Roman" w:hAnsi="Times New Roman" w:cs="Times New Roman"/>
          <w:sz w:val="22"/>
          <w:szCs w:val="22"/>
          <w:lang w:val="en-GB"/>
        </w:rPr>
        <w:t xml:space="preserve"> The national and internation</w:t>
      </w:r>
      <w:r>
        <w:rPr>
          <w:rFonts w:ascii="Times New Roman" w:hAnsi="Times New Roman" w:cs="Times New Roman"/>
          <w:sz w:val="22"/>
          <w:szCs w:val="22"/>
          <w:lang w:val="en-GB"/>
        </w:rPr>
        <w:t>al rating of IIU has also needs</w:t>
      </w:r>
      <w:r w:rsidR="00230E53">
        <w:rPr>
          <w:rFonts w:ascii="Times New Roman" w:hAnsi="Times New Roman" w:cs="Times New Roman"/>
          <w:sz w:val="22"/>
          <w:szCs w:val="22"/>
          <w:lang w:val="en-GB"/>
        </w:rPr>
        <w:t xml:space="preserve"> to be improved. This would not possible without accelerated enhancement in the research output of the University.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230E53">
        <w:rPr>
          <w:rFonts w:ascii="Times New Roman" w:hAnsi="Times New Roman" w:cs="Times New Roman"/>
          <w:sz w:val="22"/>
          <w:szCs w:val="22"/>
        </w:rPr>
        <w:t xml:space="preserve">Lack of basic equipment, laboratory supplies, scientific literature and financial resources is often a great impediment to the productivity of many creative and talented professors and researchers of IIU. </w:t>
      </w:r>
      <w:proofErr w:type="gramStart"/>
      <w:r w:rsidR="00230E53">
        <w:rPr>
          <w:rFonts w:ascii="Times New Roman" w:hAnsi="Times New Roman" w:cs="Times New Roman"/>
          <w:sz w:val="22"/>
          <w:szCs w:val="22"/>
        </w:rPr>
        <w:t xml:space="preserve">IIU Faculty members </w:t>
      </w:r>
      <w:r>
        <w:rPr>
          <w:rFonts w:ascii="Times New Roman" w:hAnsi="Times New Roman" w:cs="Times New Roman"/>
          <w:sz w:val="22"/>
          <w:szCs w:val="22"/>
        </w:rPr>
        <w:t>needs</w:t>
      </w:r>
      <w:proofErr w:type="gramEnd"/>
      <w:r w:rsidR="00196A33">
        <w:rPr>
          <w:rFonts w:ascii="Times New Roman" w:hAnsi="Times New Roman" w:cs="Times New Roman"/>
          <w:sz w:val="22"/>
          <w:szCs w:val="22"/>
        </w:rPr>
        <w:t xml:space="preserve"> modest</w:t>
      </w:r>
      <w:r w:rsidR="00230E53">
        <w:rPr>
          <w:rFonts w:ascii="Times New Roman" w:hAnsi="Times New Roman" w:cs="Times New Roman"/>
          <w:sz w:val="22"/>
          <w:szCs w:val="22"/>
        </w:rPr>
        <w:t xml:space="preserve"> financial support for research projects to enable them to pursue their research. In the absence of such support, the faculty members are discouraged</w:t>
      </w:r>
      <w:r>
        <w:rPr>
          <w:rFonts w:ascii="Times New Roman" w:hAnsi="Times New Roman" w:cs="Times New Roman"/>
          <w:sz w:val="22"/>
          <w:szCs w:val="22"/>
        </w:rPr>
        <w:t>,</w:t>
      </w:r>
      <w:r w:rsidR="00230E53">
        <w:rPr>
          <w:rFonts w:ascii="Times New Roman" w:hAnsi="Times New Roman" w:cs="Times New Roman"/>
          <w:sz w:val="22"/>
          <w:szCs w:val="22"/>
        </w:rPr>
        <w:t xml:space="preserve"> and do not indulge in research. Hence</w:t>
      </w:r>
      <w:r w:rsidR="00230E53">
        <w:rPr>
          <w:rFonts w:ascii="Times New Roman" w:hAnsi="Times New Roman" w:cs="Times New Roman"/>
          <w:color w:val="FF0000"/>
          <w:sz w:val="22"/>
          <w:szCs w:val="22"/>
        </w:rPr>
        <w:t>,</w:t>
      </w:r>
      <w:r w:rsidR="00230E53">
        <w:rPr>
          <w:rFonts w:ascii="Times New Roman" w:hAnsi="Times New Roman" w:cs="Times New Roman"/>
          <w:sz w:val="22"/>
          <w:szCs w:val="22"/>
        </w:rPr>
        <w:t xml:space="preserve"> to avoid such situations, IIU has Establish IIU Research Fund. Under the Chairmanship of IIU President a Research Fund supervisory committee has also been established. This Committee is authorized to approve IIU Funded Research Projects: 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140"/>
        <w:gridCol w:w="7380"/>
      </w:tblGrid>
      <w:tr w:rsidR="00230E53" w:rsidTr="00230E53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53" w:rsidRDefault="00230E53" w:rsidP="0079470A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Purpose and Nature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3" w:rsidRDefault="00230E53" w:rsidP="00230E53">
            <w:pPr>
              <w:numPr>
                <w:ilvl w:val="0"/>
                <w:numId w:val="1"/>
              </w:numPr>
              <w:tabs>
                <w:tab w:val="clear" w:pos="4004"/>
                <w:tab w:val="num" w:pos="382"/>
              </w:tabs>
              <w:spacing w:after="60" w:line="240" w:lineRule="auto"/>
              <w:ind w:left="389"/>
              <w:jc w:val="both"/>
            </w:pPr>
            <w:r>
              <w:t xml:space="preserve">IIU Research grants will </w:t>
            </w:r>
            <w:r w:rsidR="00196A33">
              <w:t>be awarded</w:t>
            </w:r>
            <w:r>
              <w:t xml:space="preserve"> on competitive merit for high-level and promising research projects to be carried out in IIU by its teachers. The purpose of these grants is to promote scientific research in areas relevant to goals &amp; objectives of IIU.</w:t>
            </w:r>
          </w:p>
        </w:tc>
      </w:tr>
      <w:tr w:rsidR="00230E53" w:rsidTr="00230E53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53" w:rsidRDefault="00230E53" w:rsidP="0079470A">
            <w:pPr>
              <w:pStyle w:val="Heading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Research Domain</w:t>
            </w:r>
          </w:p>
          <w:p w:rsidR="00230E53" w:rsidRDefault="00230E53" w:rsidP="0079470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3" w:rsidRDefault="00230E53" w:rsidP="00230E53">
            <w:pPr>
              <w:numPr>
                <w:ilvl w:val="0"/>
                <w:numId w:val="1"/>
              </w:numPr>
              <w:tabs>
                <w:tab w:val="clear" w:pos="4004"/>
                <w:tab w:val="num" w:pos="382"/>
              </w:tabs>
              <w:spacing w:after="60" w:line="240" w:lineRule="auto"/>
              <w:ind w:left="389"/>
              <w:jc w:val="both"/>
            </w:pPr>
            <w:r>
              <w:t xml:space="preserve">The Research Grants Program provides support for research projects in all disciplines of Science, Engineering and Technology, Social Sciences, and Humanities, Islamic Studies and Language &amp; </w:t>
            </w:r>
            <w:r w:rsidR="00196A33">
              <w:t>Literature</w:t>
            </w:r>
            <w:r>
              <w:t>.</w:t>
            </w:r>
          </w:p>
        </w:tc>
      </w:tr>
      <w:tr w:rsidR="00230E53" w:rsidTr="00230E53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53" w:rsidRDefault="00230E53" w:rsidP="0079470A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3" w:rsidRDefault="00230E53" w:rsidP="00230E53">
            <w:pPr>
              <w:numPr>
                <w:ilvl w:val="0"/>
                <w:numId w:val="1"/>
              </w:numPr>
              <w:tabs>
                <w:tab w:val="clear" w:pos="4004"/>
                <w:tab w:val="num" w:pos="382"/>
              </w:tabs>
              <w:spacing w:after="60" w:line="240" w:lineRule="auto"/>
              <w:ind w:left="389"/>
              <w:jc w:val="both"/>
            </w:pPr>
            <w:r>
              <w:t xml:space="preserve">A research grant will normally be provided for a period of one year extendable to two </w:t>
            </w:r>
            <w:proofErr w:type="gramStart"/>
            <w:r>
              <w:t>years .</w:t>
            </w:r>
            <w:proofErr w:type="gramEnd"/>
            <w:r>
              <w:t xml:space="preserve"> However, there is no restriction on the lower limit.</w:t>
            </w:r>
          </w:p>
          <w:p w:rsidR="00230E53" w:rsidRDefault="00230E53" w:rsidP="0079470A">
            <w:pPr>
              <w:spacing w:after="60"/>
              <w:ind w:left="29"/>
              <w:jc w:val="both"/>
            </w:pPr>
          </w:p>
        </w:tc>
      </w:tr>
      <w:tr w:rsidR="00230E53" w:rsidTr="00230E53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53" w:rsidRDefault="00230E53" w:rsidP="0079470A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Eligibility and Qualification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3" w:rsidRDefault="00230E53" w:rsidP="00230E53">
            <w:pPr>
              <w:numPr>
                <w:ilvl w:val="0"/>
                <w:numId w:val="4"/>
              </w:numPr>
              <w:spacing w:after="120" w:line="240" w:lineRule="auto"/>
              <w:jc w:val="both"/>
            </w:pPr>
            <w:r>
              <w:t>The applicant (Principal Investigator, PI) should be a full time faculty member of IIUI. He/she should have an advanced academic degree and relevant research experience.</w:t>
            </w:r>
          </w:p>
        </w:tc>
      </w:tr>
      <w:tr w:rsidR="00230E53" w:rsidTr="00230E53">
        <w:trPr>
          <w:trHeight w:val="1151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53" w:rsidRDefault="00B06A50" w:rsidP="0079470A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pict>
                <v:line id="_x0000_s1026" style="position:absolute;left:0;text-align:left;z-index:251660288;mso-position-horizontal-relative:text;mso-position-vertical-relative:text" from="-6.4pt,166.45pt" to="470.6pt,166.45pt"/>
              </w:pict>
            </w:r>
            <w:r w:rsidR="00230E53">
              <w:rPr>
                <w:b/>
                <w:bCs/>
              </w:rPr>
              <w:t>Approval Procedure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3" w:rsidRDefault="00230E53" w:rsidP="00ED0922">
            <w:pPr>
              <w:spacing w:after="120" w:line="240" w:lineRule="auto"/>
              <w:ind w:left="442"/>
              <w:jc w:val="both"/>
            </w:pPr>
          </w:p>
        </w:tc>
      </w:tr>
      <w:tr w:rsidR="00230E53" w:rsidTr="00230E53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53" w:rsidRDefault="00230E53" w:rsidP="0079470A">
            <w:pPr>
              <w:pStyle w:val="Heading2"/>
              <w:tabs>
                <w:tab w:val="left" w:pos="1085"/>
              </w:tabs>
              <w:ind w:firstLine="2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Agreement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3" w:rsidRDefault="00230E53" w:rsidP="00230E53">
            <w:pPr>
              <w:numPr>
                <w:ilvl w:val="0"/>
                <w:numId w:val="2"/>
              </w:numPr>
              <w:tabs>
                <w:tab w:val="clear" w:pos="3982"/>
              </w:tabs>
              <w:spacing w:after="120" w:line="240" w:lineRule="auto"/>
              <w:ind w:left="382"/>
              <w:jc w:val="both"/>
            </w:pPr>
          </w:p>
        </w:tc>
      </w:tr>
      <w:tr w:rsidR="00230E53" w:rsidTr="00230E53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53" w:rsidRDefault="00230E53" w:rsidP="0079470A">
            <w:pPr>
              <w:pStyle w:val="Heading2"/>
              <w:tabs>
                <w:tab w:val="left" w:pos="1085"/>
              </w:tabs>
              <w:ind w:firstLine="2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Annual Report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3" w:rsidRDefault="00ED0922" w:rsidP="00230E53">
            <w:pPr>
              <w:numPr>
                <w:ilvl w:val="0"/>
                <w:numId w:val="2"/>
              </w:numPr>
              <w:tabs>
                <w:tab w:val="clear" w:pos="3982"/>
              </w:tabs>
              <w:spacing w:after="120" w:line="240" w:lineRule="auto"/>
              <w:ind w:left="382"/>
              <w:jc w:val="both"/>
            </w:pPr>
            <w:r>
              <w:t xml:space="preserve">The research investigators will provide reports as per requirements of the project preferable in each semester </w:t>
            </w:r>
          </w:p>
        </w:tc>
      </w:tr>
      <w:tr w:rsidR="00ED0922" w:rsidTr="00230E53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22" w:rsidRDefault="00ED0922" w:rsidP="0079470A">
            <w:pPr>
              <w:pStyle w:val="Heading2"/>
              <w:tabs>
                <w:tab w:val="left" w:pos="1085"/>
              </w:tabs>
              <w:ind w:firstLine="2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Entitlement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22" w:rsidRDefault="00ED0922" w:rsidP="00ED0922">
            <w:pPr>
              <w:spacing w:after="120" w:line="240" w:lineRule="auto"/>
              <w:jc w:val="both"/>
            </w:pPr>
            <w:r>
              <w:t>Will have to be prepared by the Finance Department of IIUI</w:t>
            </w:r>
          </w:p>
        </w:tc>
      </w:tr>
    </w:tbl>
    <w:p w:rsidR="00A830BA" w:rsidRDefault="00A830BA"/>
    <w:sectPr w:rsidR="00A830BA" w:rsidSect="00A830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393"/>
    <w:multiLevelType w:val="hybridMultilevel"/>
    <w:tmpl w:val="E0F2612A"/>
    <w:lvl w:ilvl="0" w:tplc="14C8B2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400E9"/>
    <w:multiLevelType w:val="hybridMultilevel"/>
    <w:tmpl w:val="3A2063A6"/>
    <w:lvl w:ilvl="0" w:tplc="9E3A8A42">
      <w:start w:val="50"/>
      <w:numFmt w:val="bullet"/>
      <w:lvlText w:val="–"/>
      <w:lvlJc w:val="left"/>
      <w:pPr>
        <w:tabs>
          <w:tab w:val="num" w:pos="442"/>
        </w:tabs>
        <w:ind w:left="4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2"/>
        </w:tabs>
        <w:ind w:left="11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2"/>
        </w:tabs>
        <w:ind w:left="1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2"/>
        </w:tabs>
        <w:ind w:left="3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2"/>
        </w:tabs>
        <w:ind w:left="4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2"/>
        </w:tabs>
        <w:ind w:left="4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2"/>
        </w:tabs>
        <w:ind w:left="6202" w:hanging="360"/>
      </w:pPr>
      <w:rPr>
        <w:rFonts w:ascii="Wingdings" w:hAnsi="Wingdings" w:hint="default"/>
      </w:rPr>
    </w:lvl>
  </w:abstractNum>
  <w:abstractNum w:abstractNumId="2">
    <w:nsid w:val="2DA12A81"/>
    <w:multiLevelType w:val="hybridMultilevel"/>
    <w:tmpl w:val="CB1200CE"/>
    <w:lvl w:ilvl="0" w:tplc="AC1C19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951FA"/>
    <w:multiLevelType w:val="hybridMultilevel"/>
    <w:tmpl w:val="537E6DCA"/>
    <w:lvl w:ilvl="0" w:tplc="FFFFFFFF">
      <w:start w:val="1"/>
      <w:numFmt w:val="bullet"/>
      <w:lvlText w:val="─"/>
      <w:lvlJc w:val="left"/>
      <w:pPr>
        <w:tabs>
          <w:tab w:val="num" w:pos="3982"/>
        </w:tabs>
        <w:ind w:left="398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D6329C"/>
    <w:multiLevelType w:val="hybridMultilevel"/>
    <w:tmpl w:val="7D1ACCCC"/>
    <w:lvl w:ilvl="0" w:tplc="A5B465DE">
      <w:start w:val="1"/>
      <w:numFmt w:val="decimal"/>
      <w:lvlText w:val="%1."/>
      <w:lvlJc w:val="left"/>
      <w:pPr>
        <w:tabs>
          <w:tab w:val="num" w:pos="1296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1F6D3A"/>
    <w:multiLevelType w:val="hybridMultilevel"/>
    <w:tmpl w:val="239470D6"/>
    <w:lvl w:ilvl="0" w:tplc="53C063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1063B"/>
    <w:multiLevelType w:val="hybridMultilevel"/>
    <w:tmpl w:val="7BF85E4C"/>
    <w:lvl w:ilvl="0" w:tplc="FFFFFFFF">
      <w:start w:val="1"/>
      <w:numFmt w:val="bullet"/>
      <w:lvlText w:val="─"/>
      <w:lvlJc w:val="left"/>
      <w:pPr>
        <w:tabs>
          <w:tab w:val="num" w:pos="4004"/>
        </w:tabs>
        <w:ind w:left="4004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0E53"/>
    <w:rsid w:val="00196A33"/>
    <w:rsid w:val="00230E53"/>
    <w:rsid w:val="00420EC5"/>
    <w:rsid w:val="00A830BA"/>
    <w:rsid w:val="00B06A50"/>
    <w:rsid w:val="00C159BF"/>
    <w:rsid w:val="00ED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0BA"/>
  </w:style>
  <w:style w:type="paragraph" w:styleId="Heading1">
    <w:name w:val="heading 1"/>
    <w:basedOn w:val="Normal"/>
    <w:next w:val="Normal"/>
    <w:link w:val="Heading1Char"/>
    <w:uiPriority w:val="9"/>
    <w:qFormat/>
    <w:rsid w:val="00230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0E53"/>
    <w:pPr>
      <w:keepNext/>
      <w:tabs>
        <w:tab w:val="left" w:pos="540"/>
      </w:tabs>
      <w:spacing w:before="80" w:after="0" w:line="240" w:lineRule="auto"/>
      <w:jc w:val="center"/>
      <w:outlineLvl w:val="1"/>
    </w:pPr>
    <w:rPr>
      <w:rFonts w:ascii="Arial Narrow" w:eastAsia="Times New Roman" w:hAnsi="Arial Narrow" w:cs="Arial Narrow"/>
      <w:b/>
      <w:bCs/>
      <w:sz w:val="34"/>
      <w:szCs w:val="34"/>
    </w:rPr>
  </w:style>
  <w:style w:type="paragraph" w:styleId="Heading5">
    <w:name w:val="heading 5"/>
    <w:basedOn w:val="Normal"/>
    <w:next w:val="Normal"/>
    <w:link w:val="Heading5Char"/>
    <w:qFormat/>
    <w:rsid w:val="00230E5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30E53"/>
    <w:rPr>
      <w:rFonts w:ascii="Arial Narrow" w:eastAsia="Times New Roman" w:hAnsi="Arial Narrow" w:cs="Arial Narrow"/>
      <w:b/>
      <w:bCs/>
      <w:sz w:val="34"/>
      <w:szCs w:val="34"/>
    </w:rPr>
  </w:style>
  <w:style w:type="character" w:customStyle="1" w:styleId="Heading5Char">
    <w:name w:val="Heading 5 Char"/>
    <w:basedOn w:val="DefaultParagraphFont"/>
    <w:link w:val="Heading5"/>
    <w:rsid w:val="00230E53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Subtitle">
    <w:name w:val="Subtitle"/>
    <w:basedOn w:val="Normal"/>
    <w:link w:val="SubtitleChar"/>
    <w:qFormat/>
    <w:rsid w:val="00230E53"/>
    <w:pPr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rsid w:val="00230E53"/>
    <w:rPr>
      <w:rFonts w:ascii="Times New Roman" w:eastAsia="Times New Roman" w:hAnsi="Times New Roman" w:cs="Times New Roman"/>
      <w:b/>
      <w:bCs/>
      <w:caps/>
      <w:sz w:val="28"/>
      <w:szCs w:val="28"/>
      <w:lang w:val="en-GB"/>
    </w:rPr>
  </w:style>
  <w:style w:type="paragraph" w:styleId="BodyText">
    <w:name w:val="Body Text"/>
    <w:basedOn w:val="Normal"/>
    <w:link w:val="BodyTextChar"/>
    <w:rsid w:val="00230E53"/>
    <w:pPr>
      <w:spacing w:before="80" w:after="0" w:line="240" w:lineRule="auto"/>
    </w:pPr>
    <w:rPr>
      <w:rFonts w:ascii="Arial Narrow" w:eastAsia="Times New Roman" w:hAnsi="Arial Narrow" w:cs="Arial Narrow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230E53"/>
    <w:rPr>
      <w:rFonts w:ascii="Arial Narrow" w:eastAsia="Times New Roman" w:hAnsi="Arial Narrow" w:cs="Arial Narrow"/>
      <w:sz w:val="16"/>
      <w:szCs w:val="16"/>
    </w:rPr>
  </w:style>
  <w:style w:type="character" w:styleId="Hyperlink">
    <w:name w:val="Hyperlink"/>
    <w:rsid w:val="00230E5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0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Company>IIUI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NAZIM ALI</dc:creator>
  <cp:keywords/>
  <dc:description/>
  <cp:lastModifiedBy>khurshid_Alam</cp:lastModifiedBy>
  <cp:revision>2</cp:revision>
  <dcterms:created xsi:type="dcterms:W3CDTF">2012-03-22T17:35:00Z</dcterms:created>
  <dcterms:modified xsi:type="dcterms:W3CDTF">2012-03-22T17:35:00Z</dcterms:modified>
</cp:coreProperties>
</file>